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A7" w:rsidRDefault="00440BB9" w:rsidP="000E41A7">
      <w:pPr>
        <w:rPr>
          <w:noProof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-425582</wp:posOffset>
            </wp:positionH>
            <wp:positionV relativeFrom="paragraph">
              <wp:posOffset>100660</wp:posOffset>
            </wp:positionV>
            <wp:extent cx="987425" cy="1310640"/>
            <wp:effectExtent l="0" t="0" r="3175" b="3810"/>
            <wp:wrapNone/>
            <wp:docPr id="2" name="Immagine 2" descr="log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_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7B5" w:rsidRPr="00EE4788">
        <w:rPr>
          <w:b/>
          <w:sz w:val="22"/>
          <w:szCs w:val="22"/>
        </w:rPr>
        <w:t xml:space="preserve"> </w:t>
      </w:r>
      <w:r w:rsidR="000E41A7" w:rsidRPr="00531C8B">
        <w:rPr>
          <w:noProof/>
        </w:rPr>
        <w:t xml:space="preserve">                </w:t>
      </w:r>
      <w:r w:rsidR="000E41A7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35A4ADDE" wp14:editId="09AEE92E">
            <wp:extent cx="955183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8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>
        <w:rPr>
          <w:noProof/>
        </w:rPr>
        <w:t xml:space="preserve">        </w:t>
      </w:r>
      <w:r w:rsidR="000E41A7" w:rsidRPr="00531C8B">
        <w:rPr>
          <w:noProof/>
        </w:rPr>
        <w:t xml:space="preserve">   </w:t>
      </w:r>
      <w:bookmarkStart w:id="0" w:name="_GoBack"/>
      <w:r w:rsidR="000E41A7">
        <w:rPr>
          <w:noProof/>
        </w:rPr>
        <w:drawing>
          <wp:inline distT="0" distB="0" distL="0" distR="0" wp14:anchorId="7451F52A" wp14:editId="0737487E">
            <wp:extent cx="982282" cy="9144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03" cy="91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  <w:r w:rsidR="000E41A7" w:rsidRPr="00531C8B">
        <w:rPr>
          <w:noProof/>
        </w:rPr>
        <w:t xml:space="preserve">     </w:t>
      </w:r>
      <w:r w:rsidR="000E41A7">
        <w:rPr>
          <w:noProof/>
        </w:rPr>
        <w:t xml:space="preserve">                      </w:t>
      </w:r>
      <w:r w:rsidR="000E41A7">
        <w:rPr>
          <w:rFonts w:ascii="Calibri" w:hAnsi="Calibri"/>
          <w:noProof/>
          <w:sz w:val="22"/>
          <w:szCs w:val="22"/>
        </w:rPr>
        <w:drawing>
          <wp:inline distT="0" distB="0" distL="0" distR="0" wp14:anchorId="6EE4C364" wp14:editId="5928C751">
            <wp:extent cx="790575" cy="809625"/>
            <wp:effectExtent l="0" t="0" r="9525" b="9525"/>
            <wp:docPr id="6" name="Immagine 6" descr="C:\Users\Asusx5\Pictures\logo v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x5\Pictures\logo vinc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>
        <w:rPr>
          <w:noProof/>
        </w:rPr>
        <w:drawing>
          <wp:inline distT="0" distB="0" distL="0" distR="0" wp14:anchorId="0C734F29" wp14:editId="3EB09E7A">
            <wp:extent cx="770261" cy="77152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45" cy="7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41A7" w:rsidRPr="00EE4788" w:rsidRDefault="000E41A7" w:rsidP="000E41A7">
      <w:pPr>
        <w:rPr>
          <w:b/>
          <w:sz w:val="22"/>
          <w:szCs w:val="22"/>
        </w:rPr>
      </w:pPr>
      <w:r w:rsidRPr="00EE4788">
        <w:rPr>
          <w:b/>
          <w:sz w:val="22"/>
          <w:szCs w:val="22"/>
        </w:rPr>
        <w:t xml:space="preserve">         </w:t>
      </w:r>
    </w:p>
    <w:p w:rsidR="008128C9" w:rsidRPr="008C497C" w:rsidRDefault="008128C9" w:rsidP="008C497C">
      <w:pPr>
        <w:jc w:val="center"/>
        <w:rPr>
          <w:sz w:val="22"/>
          <w:szCs w:val="22"/>
        </w:rPr>
      </w:pPr>
    </w:p>
    <w:p w:rsidR="00E967B5" w:rsidRPr="00996EC6" w:rsidRDefault="00996EC6" w:rsidP="00E967B5">
      <w:pPr>
        <w:jc w:val="center"/>
        <w:rPr>
          <w:b/>
        </w:rPr>
      </w:pPr>
      <w:r w:rsidRPr="00996EC6">
        <w:rPr>
          <w:b/>
        </w:rPr>
        <w:t>PERCORSO DI ORIENTAMENTO-POTENZIAMENTO</w:t>
      </w:r>
    </w:p>
    <w:p w:rsidR="00F24955" w:rsidRPr="00523C92" w:rsidRDefault="00E967B5" w:rsidP="00E967B5">
      <w:pPr>
        <w:jc w:val="center"/>
        <w:rPr>
          <w:b/>
          <w:color w:val="FF0000"/>
          <w:sz w:val="28"/>
          <w:szCs w:val="28"/>
        </w:rPr>
      </w:pPr>
      <w:r w:rsidRPr="00523C92">
        <w:rPr>
          <w:b/>
          <w:color w:val="FF0000"/>
          <w:sz w:val="28"/>
          <w:szCs w:val="28"/>
        </w:rPr>
        <w:t>“BIOLOGIA CON CURVATURA BIOMEDICA”</w:t>
      </w: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Pr="00523C92" w:rsidRDefault="00C00DDA" w:rsidP="00C00DDA">
      <w:pPr>
        <w:jc w:val="center"/>
        <w:rPr>
          <w:b/>
        </w:rPr>
      </w:pPr>
      <w:r w:rsidRPr="00523C92">
        <w:rPr>
          <w:b/>
        </w:rPr>
        <w:t xml:space="preserve">CALENDARIO DELLA </w:t>
      </w:r>
      <w:r>
        <w:rPr>
          <w:b/>
        </w:rPr>
        <w:t>SECOND</w:t>
      </w:r>
      <w:r w:rsidRPr="00523C92">
        <w:rPr>
          <w:b/>
        </w:rPr>
        <w:t xml:space="preserve">A ANNUALITÀ </w:t>
      </w:r>
    </w:p>
    <w:p w:rsidR="00C00DDA" w:rsidRPr="00523C92" w:rsidRDefault="00C00DDA" w:rsidP="00C00DDA">
      <w:pPr>
        <w:jc w:val="center"/>
        <w:rPr>
          <w:b/>
        </w:rPr>
      </w:pPr>
      <w:r w:rsidRPr="00523C92">
        <w:rPr>
          <w:b/>
        </w:rPr>
        <w:t xml:space="preserve">a.s. </w:t>
      </w:r>
      <w:r w:rsidR="0030472D">
        <w:rPr>
          <w:b/>
        </w:rPr>
        <w:t>2019-2020</w:t>
      </w:r>
    </w:p>
    <w:p w:rsidR="00C00DDA" w:rsidRPr="009B072E" w:rsidRDefault="00C00DDA" w:rsidP="00C00DDA">
      <w:pPr>
        <w:jc w:val="center"/>
      </w:pP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Nuclei tematici previsti</w:t>
      </w:r>
      <w:r w:rsidRPr="0014208C">
        <w:rPr>
          <w:sz w:val="22"/>
          <w:szCs w:val="22"/>
        </w:rPr>
        <w:t xml:space="preserve">: </w:t>
      </w:r>
      <w:r w:rsidRPr="0014208C">
        <w:rPr>
          <w:b/>
          <w:sz w:val="22"/>
          <w:szCs w:val="22"/>
        </w:rPr>
        <w:t>n. 4 comprendenti 10 ore ciascuno (totale 40 ore)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Per ogni nucleo tematico:</w:t>
      </w:r>
    </w:p>
    <w:p w:rsidR="00C00DDA" w:rsidRPr="0014208C" w:rsidRDefault="00C00DDA" w:rsidP="00C00DD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14208C">
        <w:rPr>
          <w:b/>
          <w:i/>
          <w:sz w:val="22"/>
          <w:szCs w:val="22"/>
        </w:rPr>
        <w:t>A cura del docente interno</w:t>
      </w:r>
      <w:r w:rsidRPr="0014208C">
        <w:rPr>
          <w:b/>
          <w:sz w:val="22"/>
          <w:szCs w:val="22"/>
        </w:rPr>
        <w:t xml:space="preserve">: </w:t>
      </w:r>
      <w:r w:rsidRPr="0014208C">
        <w:rPr>
          <w:sz w:val="22"/>
          <w:szCs w:val="22"/>
        </w:rPr>
        <w:t>n. 4 ore di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>attività formative in aula + n.1 ora per la somministrazione del test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 xml:space="preserve">di verifica </w:t>
      </w:r>
    </w:p>
    <w:p w:rsidR="00C00DDA" w:rsidRPr="0014208C" w:rsidRDefault="00C00DDA" w:rsidP="00C00DD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14208C">
        <w:rPr>
          <w:b/>
          <w:i/>
          <w:sz w:val="22"/>
          <w:szCs w:val="22"/>
        </w:rPr>
        <w:t>A cura dell’esperto esterno</w:t>
      </w:r>
      <w:r w:rsidRPr="0014208C">
        <w:rPr>
          <w:b/>
          <w:sz w:val="22"/>
          <w:szCs w:val="22"/>
        </w:rPr>
        <w:t xml:space="preserve">: </w:t>
      </w:r>
      <w:r w:rsidRPr="0014208C">
        <w:rPr>
          <w:sz w:val="22"/>
          <w:szCs w:val="22"/>
        </w:rPr>
        <w:t>n. 5 ore di</w:t>
      </w:r>
      <w:r w:rsidRPr="0014208C">
        <w:rPr>
          <w:b/>
          <w:sz w:val="22"/>
          <w:szCs w:val="22"/>
        </w:rPr>
        <w:t xml:space="preserve"> </w:t>
      </w:r>
      <w:r w:rsidRPr="0014208C">
        <w:rPr>
          <w:sz w:val="22"/>
          <w:szCs w:val="22"/>
        </w:rPr>
        <w:t>attività formative in aula ripartite in 4 incontri della durata di 1 ora e 15 minuti ciascuno.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i/>
          <w:sz w:val="22"/>
          <w:szCs w:val="22"/>
        </w:rPr>
      </w:pPr>
      <w:r w:rsidRPr="0014208C">
        <w:rPr>
          <w:i/>
          <w:sz w:val="22"/>
          <w:szCs w:val="22"/>
        </w:rPr>
        <w:t>Il calendario delle attività formative, a cura dei docenti interni e degli esperti esterni, di norma prevede un incontro settimanale.</w:t>
      </w:r>
    </w:p>
    <w:p w:rsidR="00C00DDA" w:rsidRPr="0014208C" w:rsidRDefault="00C00DDA" w:rsidP="00C00DDA">
      <w:pPr>
        <w:jc w:val="both"/>
        <w:rPr>
          <w:i/>
          <w:sz w:val="22"/>
          <w:szCs w:val="22"/>
        </w:rPr>
      </w:pPr>
    </w:p>
    <w:p w:rsidR="00C00DDA" w:rsidRDefault="00C00DDA" w:rsidP="00C00DDA">
      <w:pPr>
        <w:tabs>
          <w:tab w:val="left" w:pos="1833"/>
        </w:tabs>
        <w:jc w:val="both"/>
        <w:rPr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Attività laboratoriali</w:t>
      </w:r>
      <w:r w:rsidRPr="0014208C">
        <w:rPr>
          <w:b/>
          <w:sz w:val="22"/>
          <w:szCs w:val="22"/>
        </w:rPr>
        <w:t xml:space="preserve">: n. 10 ore annuali </w:t>
      </w:r>
      <w:r w:rsidRPr="0014208C">
        <w:rPr>
          <w:sz w:val="22"/>
          <w:szCs w:val="22"/>
        </w:rPr>
        <w:t xml:space="preserve">comprendenti </w:t>
      </w:r>
    </w:p>
    <w:p w:rsidR="0014208C" w:rsidRPr="0014208C" w:rsidRDefault="0014208C" w:rsidP="00C00DDA">
      <w:pPr>
        <w:tabs>
          <w:tab w:val="left" w:pos="1833"/>
        </w:tabs>
        <w:jc w:val="both"/>
        <w:rPr>
          <w:sz w:val="22"/>
          <w:szCs w:val="22"/>
        </w:rPr>
      </w:pPr>
    </w:p>
    <w:p w:rsidR="00C00DDA" w:rsidRPr="0014208C" w:rsidRDefault="00C00DDA" w:rsidP="0014208C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14208C">
        <w:rPr>
          <w:sz w:val="22"/>
          <w:szCs w:val="22"/>
        </w:rPr>
        <w:t>un incontro con un rappresentante del Consiglio Direttivo Provinciale presso la sede dell’Ordine Provinciale dei Medici</w:t>
      </w:r>
    </w:p>
    <w:p w:rsidR="00C00DDA" w:rsidRPr="0014208C" w:rsidRDefault="00C00DDA" w:rsidP="00C00DDA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14208C">
        <w:rPr>
          <w:sz w:val="22"/>
          <w:szCs w:val="22"/>
        </w:rPr>
        <w:t>attività presso le strutture sanitarie e/o i reparti ospedalieri (Pneumologia, Gastroen</w:t>
      </w:r>
      <w:r w:rsidR="00A018B9">
        <w:rPr>
          <w:sz w:val="22"/>
          <w:szCs w:val="22"/>
        </w:rPr>
        <w:t>terologia, Urologia/Nefrologia</w:t>
      </w:r>
      <w:r w:rsidRPr="0014208C">
        <w:rPr>
          <w:sz w:val="22"/>
          <w:szCs w:val="22"/>
        </w:rPr>
        <w:t>, Medicina interna) individuati dall’Ordine Provinciale dei Medici.</w:t>
      </w:r>
    </w:p>
    <w:p w:rsidR="00C00DDA" w:rsidRPr="0014208C" w:rsidRDefault="00C00DDA" w:rsidP="00C00DDA">
      <w:pPr>
        <w:tabs>
          <w:tab w:val="left" w:pos="1833"/>
        </w:tabs>
        <w:jc w:val="both"/>
        <w:rPr>
          <w:sz w:val="22"/>
          <w:szCs w:val="22"/>
        </w:rPr>
      </w:pP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Le attività laboratoriali esterne saranno funzionali ai contenuti sviluppati nei nuclei tematici di apprendimento della prima annualità del percorso.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Il calendario delle suddette attività laboratoriali sarà concordato da ciascuna Istituzione scolastica con l’Ordine Provinciale dei Medici di riferimento.</w:t>
      </w:r>
    </w:p>
    <w:p w:rsidR="00C00DDA" w:rsidRPr="0014208C" w:rsidRDefault="00C00DDA" w:rsidP="00C00DDA">
      <w:pPr>
        <w:rPr>
          <w:b/>
          <w:sz w:val="22"/>
          <w:szCs w:val="22"/>
        </w:rPr>
      </w:pPr>
    </w:p>
    <w:p w:rsidR="00A662F3" w:rsidRPr="0014208C" w:rsidRDefault="00C00DDA" w:rsidP="00C00DDA">
      <w:pPr>
        <w:rPr>
          <w:b/>
          <w:color w:val="FF0000"/>
          <w:sz w:val="22"/>
          <w:szCs w:val="22"/>
        </w:rPr>
      </w:pPr>
      <w:r w:rsidRPr="0014208C">
        <w:rPr>
          <w:b/>
          <w:color w:val="FF0000"/>
          <w:sz w:val="22"/>
          <w:szCs w:val="22"/>
        </w:rPr>
        <w:t xml:space="preserve">NUCLEO </w:t>
      </w:r>
      <w:r w:rsidR="000F0EBC">
        <w:rPr>
          <w:b/>
          <w:color w:val="FF0000"/>
          <w:sz w:val="22"/>
          <w:szCs w:val="22"/>
        </w:rPr>
        <w:t xml:space="preserve">TEMATICO </w:t>
      </w:r>
      <w:r w:rsidRPr="0014208C">
        <w:rPr>
          <w:b/>
          <w:color w:val="FF0000"/>
          <w:sz w:val="22"/>
          <w:szCs w:val="22"/>
        </w:rPr>
        <w:t>A: L’APPARATO RESPIRATORIO</w:t>
      </w:r>
    </w:p>
    <w:p w:rsidR="00A662F3" w:rsidRPr="0014208C" w:rsidRDefault="00A662F3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cura del docente interno 4 </w:t>
      </w:r>
      <w:r w:rsidR="00C00DDA" w:rsidRPr="0014208C">
        <w:rPr>
          <w:b/>
          <w:sz w:val="22"/>
          <w:szCs w:val="22"/>
          <w:u w:val="single"/>
        </w:rPr>
        <w:t>ore</w:t>
      </w:r>
      <w:r w:rsidRPr="0014208C">
        <w:rPr>
          <w:b/>
          <w:sz w:val="22"/>
          <w:szCs w:val="22"/>
          <w:u w:val="single"/>
        </w:rPr>
        <w:t xml:space="preserve"> </w:t>
      </w:r>
      <w:r w:rsidR="00A018B9">
        <w:rPr>
          <w:b/>
          <w:sz w:val="22"/>
          <w:szCs w:val="22"/>
          <w:u w:val="single"/>
        </w:rPr>
        <w:t>(Dal</w:t>
      </w:r>
      <w:r w:rsidR="00A018B9" w:rsidRPr="000435E8">
        <w:rPr>
          <w:b/>
          <w:sz w:val="22"/>
          <w:szCs w:val="22"/>
          <w:u w:val="single"/>
        </w:rPr>
        <w:t xml:space="preserve"> </w:t>
      </w:r>
      <w:r w:rsidR="00A018B9">
        <w:rPr>
          <w:b/>
          <w:sz w:val="22"/>
          <w:szCs w:val="22"/>
          <w:u w:val="single"/>
        </w:rPr>
        <w:t xml:space="preserve">30 SETTEMBRE </w:t>
      </w:r>
      <w:r w:rsidR="00A018B9" w:rsidRPr="000435E8">
        <w:rPr>
          <w:b/>
          <w:sz w:val="22"/>
          <w:szCs w:val="22"/>
          <w:u w:val="single"/>
        </w:rPr>
        <w:t>al</w:t>
      </w:r>
      <w:r w:rsidR="00E12B8A">
        <w:rPr>
          <w:b/>
          <w:sz w:val="22"/>
          <w:szCs w:val="22"/>
          <w:u w:val="single"/>
        </w:rPr>
        <w:t xml:space="preserve"> 26</w:t>
      </w:r>
      <w:r w:rsidR="00A018B9">
        <w:rPr>
          <w:b/>
          <w:sz w:val="22"/>
          <w:szCs w:val="22"/>
          <w:u w:val="single"/>
        </w:rPr>
        <w:t xml:space="preserve"> OTTO</w:t>
      </w:r>
      <w:r w:rsidR="00A018B9" w:rsidRPr="000435E8">
        <w:rPr>
          <w:b/>
          <w:sz w:val="22"/>
          <w:szCs w:val="22"/>
          <w:u w:val="single"/>
        </w:rPr>
        <w:t>BRE)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Gli organi dell’apparato respiratorio superiore e inferiore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2: La ventilazione polmonare 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3: Gli scambi gassosi e il trasporto dei gas respiratori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4: Il controllo della </w:t>
      </w:r>
      <w:r w:rsidR="00A662F3" w:rsidRPr="0014208C">
        <w:rPr>
          <w:sz w:val="22"/>
          <w:szCs w:val="22"/>
        </w:rPr>
        <w:t>respirazione</w:t>
      </w:r>
    </w:p>
    <w:p w:rsidR="00A662F3" w:rsidRPr="0014208C" w:rsidRDefault="00A662F3" w:rsidP="00C00DDA">
      <w:pPr>
        <w:rPr>
          <w:sz w:val="22"/>
          <w:szCs w:val="22"/>
        </w:rPr>
      </w:pPr>
    </w:p>
    <w:p w:rsidR="00A662F3" w:rsidRPr="0014208C" w:rsidRDefault="00A662F3" w:rsidP="00A662F3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cura dell’esperto esterno 5 ore </w:t>
      </w:r>
      <w:r w:rsidR="00A018B9" w:rsidRPr="000435E8">
        <w:rPr>
          <w:b/>
          <w:sz w:val="22"/>
          <w:szCs w:val="22"/>
          <w:u w:val="single"/>
        </w:rPr>
        <w:t xml:space="preserve">(Dal </w:t>
      </w:r>
      <w:r w:rsidR="00E12B8A">
        <w:rPr>
          <w:b/>
          <w:sz w:val="22"/>
          <w:szCs w:val="22"/>
          <w:u w:val="single"/>
        </w:rPr>
        <w:t>28 OTTOBRE</w:t>
      </w:r>
      <w:r w:rsidR="00A018B9">
        <w:rPr>
          <w:b/>
          <w:sz w:val="22"/>
          <w:szCs w:val="22"/>
          <w:u w:val="single"/>
        </w:rPr>
        <w:t xml:space="preserve"> </w:t>
      </w:r>
      <w:r w:rsidR="00A018B9" w:rsidRPr="000435E8">
        <w:rPr>
          <w:b/>
          <w:sz w:val="22"/>
          <w:szCs w:val="22"/>
          <w:u w:val="single"/>
        </w:rPr>
        <w:t>al</w:t>
      </w:r>
      <w:r w:rsidR="00E12B8A">
        <w:rPr>
          <w:b/>
          <w:sz w:val="22"/>
          <w:szCs w:val="22"/>
          <w:u w:val="single"/>
        </w:rPr>
        <w:t xml:space="preserve"> 23</w:t>
      </w:r>
      <w:r w:rsidR="00A018B9" w:rsidRPr="000435E8">
        <w:rPr>
          <w:b/>
          <w:sz w:val="22"/>
          <w:szCs w:val="22"/>
          <w:u w:val="single"/>
        </w:rPr>
        <w:t xml:space="preserve"> NOVEMBRE)</w:t>
      </w:r>
      <w:r w:rsidR="00A018B9" w:rsidRPr="0014208C">
        <w:rPr>
          <w:b/>
          <w:sz w:val="22"/>
          <w:szCs w:val="22"/>
          <w:u w:val="single"/>
        </w:rPr>
        <w:t xml:space="preserve"> </w:t>
      </w:r>
    </w:p>
    <w:p w:rsidR="00A662F3" w:rsidRPr="0014208C" w:rsidRDefault="00C00DDA" w:rsidP="00C00DDA">
      <w:pPr>
        <w:jc w:val="both"/>
        <w:rPr>
          <w:b/>
          <w:sz w:val="22"/>
          <w:szCs w:val="22"/>
        </w:rPr>
      </w:pPr>
      <w:bookmarkStart w:id="1" w:name="_Hlk488820084"/>
      <w:r w:rsidRPr="0014208C">
        <w:rPr>
          <w:b/>
          <w:sz w:val="22"/>
          <w:szCs w:val="22"/>
        </w:rPr>
        <w:t>Inquadramento clinico delle più comuni patologie dell’apparato respiratorio, gli interventi di prevenzione nelle diverse situazioni</w:t>
      </w:r>
    </w:p>
    <w:bookmarkEnd w:id="1"/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Le patologie infettive dell’apparato respiratorio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2: Le patologie croniche polmonari e l’asma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3: Le patologie tumorali dell’apparato respiratorio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La diagnostica strumentale dell’apparato respiratorio</w:t>
      </w:r>
    </w:p>
    <w:p w:rsidR="00A662F3" w:rsidRPr="0014208C" w:rsidRDefault="00A662F3" w:rsidP="00A662F3">
      <w:pPr>
        <w:pStyle w:val="NormaleWeb"/>
        <w:spacing w:before="86" w:beforeAutospacing="0" w:after="0" w:afterAutospacing="0"/>
        <w:rPr>
          <w:rFonts w:eastAsiaTheme="minorEastAsia"/>
          <w:color w:val="0000FF"/>
          <w:kern w:val="24"/>
          <w:sz w:val="22"/>
          <w:szCs w:val="22"/>
        </w:rPr>
      </w:pPr>
      <w:r w:rsidRPr="0014208C">
        <w:rPr>
          <w:b/>
          <w:sz w:val="22"/>
          <w:szCs w:val="22"/>
        </w:rPr>
        <w:t xml:space="preserve">Somministrazione del primo test in orario antimeridiano o pomeridiano - 1 ora (Dal </w:t>
      </w:r>
      <w:r w:rsidR="00A018B9">
        <w:rPr>
          <w:b/>
          <w:sz w:val="22"/>
          <w:szCs w:val="22"/>
        </w:rPr>
        <w:t>2</w:t>
      </w:r>
      <w:r w:rsidR="00E12B8A">
        <w:rPr>
          <w:b/>
          <w:sz w:val="22"/>
          <w:szCs w:val="22"/>
        </w:rPr>
        <w:t>5 al 30</w:t>
      </w:r>
      <w:r w:rsidR="00A018B9">
        <w:rPr>
          <w:b/>
          <w:sz w:val="22"/>
          <w:szCs w:val="22"/>
        </w:rPr>
        <w:t xml:space="preserve"> </w:t>
      </w:r>
      <w:r w:rsidR="00E12B8A">
        <w:rPr>
          <w:b/>
          <w:sz w:val="22"/>
          <w:szCs w:val="22"/>
        </w:rPr>
        <w:t>NOV</w:t>
      </w:r>
      <w:r w:rsidRPr="0014208C">
        <w:rPr>
          <w:b/>
          <w:sz w:val="22"/>
          <w:szCs w:val="22"/>
        </w:rPr>
        <w:t>EMBRE)</w:t>
      </w:r>
      <w:r w:rsidRPr="0014208C">
        <w:rPr>
          <w:rFonts w:eastAsiaTheme="minorEastAsia"/>
          <w:color w:val="0000FF"/>
          <w:kern w:val="24"/>
          <w:sz w:val="22"/>
          <w:szCs w:val="22"/>
        </w:rPr>
        <w:t xml:space="preserve"> </w:t>
      </w:r>
    </w:p>
    <w:p w:rsidR="0014208C" w:rsidRDefault="0014208C" w:rsidP="00C00DDA">
      <w:pPr>
        <w:rPr>
          <w:sz w:val="22"/>
          <w:szCs w:val="22"/>
        </w:rPr>
      </w:pPr>
    </w:p>
    <w:p w:rsidR="0014208C" w:rsidRDefault="0014208C" w:rsidP="00C00DDA">
      <w:pPr>
        <w:rPr>
          <w:sz w:val="22"/>
          <w:szCs w:val="22"/>
        </w:rPr>
      </w:pPr>
    </w:p>
    <w:p w:rsidR="00A662F3" w:rsidRPr="0014208C" w:rsidRDefault="00C00DDA" w:rsidP="00C00DDA">
      <w:pPr>
        <w:rPr>
          <w:b/>
          <w:color w:val="FF0000"/>
          <w:sz w:val="22"/>
          <w:szCs w:val="22"/>
        </w:rPr>
      </w:pPr>
      <w:r w:rsidRPr="0014208C">
        <w:rPr>
          <w:b/>
          <w:color w:val="FF0000"/>
          <w:sz w:val="22"/>
          <w:szCs w:val="22"/>
        </w:rPr>
        <w:lastRenderedPageBreak/>
        <w:t xml:space="preserve">NUCLEO </w:t>
      </w:r>
      <w:r w:rsidR="000F0EBC">
        <w:rPr>
          <w:b/>
          <w:color w:val="FF0000"/>
          <w:sz w:val="22"/>
          <w:szCs w:val="22"/>
        </w:rPr>
        <w:t xml:space="preserve">TEMATICO </w:t>
      </w:r>
      <w:r w:rsidRPr="0014208C">
        <w:rPr>
          <w:b/>
          <w:color w:val="FF0000"/>
          <w:sz w:val="22"/>
          <w:szCs w:val="22"/>
        </w:rPr>
        <w:t>B: L’APPARATO DIGERENTE</w:t>
      </w:r>
    </w:p>
    <w:p w:rsidR="00A662F3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</w:t>
      </w:r>
      <w:r w:rsidR="00A662F3" w:rsidRPr="0014208C">
        <w:rPr>
          <w:b/>
          <w:sz w:val="22"/>
          <w:szCs w:val="22"/>
          <w:u w:val="single"/>
        </w:rPr>
        <w:t xml:space="preserve">cura del docente interno </w:t>
      </w:r>
      <w:r w:rsidRPr="0014208C">
        <w:rPr>
          <w:b/>
          <w:sz w:val="22"/>
          <w:szCs w:val="22"/>
          <w:u w:val="single"/>
        </w:rPr>
        <w:t>4 ore</w:t>
      </w:r>
      <w:r w:rsidR="00A662F3" w:rsidRPr="0014208C">
        <w:rPr>
          <w:b/>
          <w:sz w:val="22"/>
          <w:szCs w:val="22"/>
          <w:u w:val="single"/>
        </w:rPr>
        <w:t xml:space="preserve"> (Dal 2</w:t>
      </w:r>
      <w:r w:rsidR="00E12B8A">
        <w:rPr>
          <w:b/>
          <w:sz w:val="22"/>
          <w:szCs w:val="22"/>
          <w:u w:val="single"/>
        </w:rPr>
        <w:t>5 NOV</w:t>
      </w:r>
      <w:r w:rsidR="00E12B8A" w:rsidRPr="0014208C">
        <w:rPr>
          <w:b/>
          <w:sz w:val="22"/>
          <w:szCs w:val="22"/>
          <w:u w:val="single"/>
        </w:rPr>
        <w:t>EMBRE</w:t>
      </w:r>
      <w:r w:rsidR="00E12B8A">
        <w:rPr>
          <w:b/>
          <w:sz w:val="22"/>
          <w:szCs w:val="22"/>
          <w:u w:val="single"/>
        </w:rPr>
        <w:t xml:space="preserve"> al 21 DICEMBRE</w:t>
      </w:r>
      <w:r w:rsidR="00A662F3" w:rsidRPr="0014208C">
        <w:rPr>
          <w:b/>
          <w:sz w:val="22"/>
          <w:szCs w:val="22"/>
          <w:u w:val="single"/>
        </w:rPr>
        <w:t>)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La struttura del tubo digerente. An</w:t>
      </w:r>
      <w:r w:rsidR="00FA46E6">
        <w:rPr>
          <w:sz w:val="22"/>
          <w:szCs w:val="22"/>
        </w:rPr>
        <w:t>atomia e fisiologia della bocca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2: L’anatomia e la fisiologia della faringe, dell’esofago e dello stomaco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3: L’anatomia e la fisiologia dell’intestino tenue e crasso. Pancreas e fegato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I principi n</w:t>
      </w:r>
      <w:r w:rsidR="00A662F3" w:rsidRPr="0014208C">
        <w:rPr>
          <w:sz w:val="22"/>
          <w:szCs w:val="22"/>
        </w:rPr>
        <w:t>utritivi e le vitamine</w:t>
      </w:r>
    </w:p>
    <w:p w:rsidR="00A662F3" w:rsidRPr="0014208C" w:rsidRDefault="00A662F3" w:rsidP="00C00DDA">
      <w:pPr>
        <w:rPr>
          <w:sz w:val="22"/>
          <w:szCs w:val="22"/>
        </w:rPr>
      </w:pPr>
    </w:p>
    <w:p w:rsidR="0014208C" w:rsidRPr="00A018B9" w:rsidRDefault="00A662F3" w:rsidP="00A662F3">
      <w:pPr>
        <w:rPr>
          <w:b/>
          <w:sz w:val="22"/>
          <w:szCs w:val="22"/>
        </w:rPr>
      </w:pPr>
      <w:r w:rsidRPr="0014208C">
        <w:rPr>
          <w:b/>
          <w:sz w:val="22"/>
          <w:szCs w:val="22"/>
          <w:u w:val="single"/>
        </w:rPr>
        <w:t>A cura dell’es</w:t>
      </w:r>
      <w:r w:rsidR="00A018B9">
        <w:rPr>
          <w:b/>
          <w:sz w:val="22"/>
          <w:szCs w:val="22"/>
          <w:u w:val="single"/>
        </w:rPr>
        <w:t>perto esterno 5 ore (Dal 7 al 25</w:t>
      </w:r>
      <w:r w:rsidRPr="0014208C">
        <w:rPr>
          <w:b/>
          <w:sz w:val="22"/>
          <w:szCs w:val="22"/>
          <w:u w:val="single"/>
        </w:rPr>
        <w:t xml:space="preserve"> GENNAIO)</w:t>
      </w:r>
      <w:r w:rsidRPr="0014208C">
        <w:rPr>
          <w:b/>
          <w:sz w:val="22"/>
          <w:szCs w:val="22"/>
        </w:rPr>
        <w:t>*</w:t>
      </w:r>
    </w:p>
    <w:p w:rsidR="00A662F3" w:rsidRPr="0014208C" w:rsidRDefault="00A662F3" w:rsidP="00A662F3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Inquadramento clinico delle più comuni patologie d</w:t>
      </w:r>
      <w:r w:rsidR="00B543A0" w:rsidRPr="0014208C">
        <w:rPr>
          <w:b/>
          <w:sz w:val="22"/>
          <w:szCs w:val="22"/>
        </w:rPr>
        <w:t>ell’apparato digerente</w:t>
      </w:r>
      <w:r w:rsidRPr="0014208C">
        <w:rPr>
          <w:b/>
          <w:sz w:val="22"/>
          <w:szCs w:val="22"/>
        </w:rPr>
        <w:t>, casi clinici esemplificativi.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1: Le patologie della bocca, della faringe e dell’esofago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2: Le patologie dello stomaco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3: Le patologie del fegato, delle vie biliari e del pancreas</w:t>
      </w:r>
    </w:p>
    <w:p w:rsidR="00C00DDA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4: Le patologie dell’intestino tenue e del crasso</w:t>
      </w:r>
    </w:p>
    <w:p w:rsidR="00A018B9" w:rsidRPr="0014208C" w:rsidRDefault="00A018B9" w:rsidP="00C00DDA">
      <w:pPr>
        <w:jc w:val="both"/>
        <w:rPr>
          <w:sz w:val="22"/>
          <w:szCs w:val="22"/>
        </w:rPr>
      </w:pPr>
    </w:p>
    <w:p w:rsidR="00A018B9" w:rsidRPr="00A018B9" w:rsidRDefault="00A018B9" w:rsidP="00A018B9">
      <w:pPr>
        <w:rPr>
          <w:sz w:val="22"/>
          <w:szCs w:val="22"/>
          <w:highlight w:val="yellow"/>
        </w:rPr>
      </w:pPr>
      <w:r w:rsidRPr="00A018B9">
        <w:rPr>
          <w:sz w:val="22"/>
          <w:szCs w:val="22"/>
          <w:highlight w:val="yellow"/>
        </w:rPr>
        <w:t>*I quattro incontri previsti con gl</w:t>
      </w:r>
      <w:r w:rsidR="00E12B8A">
        <w:rPr>
          <w:sz w:val="22"/>
          <w:szCs w:val="22"/>
          <w:highlight w:val="yellow"/>
        </w:rPr>
        <w:t>i esperti medici esterni DEVONO essere svolti</w:t>
      </w:r>
      <w:r w:rsidRPr="00A018B9">
        <w:rPr>
          <w:sz w:val="22"/>
          <w:szCs w:val="22"/>
          <w:highlight w:val="yellow"/>
        </w:rPr>
        <w:t xml:space="preserve"> in tre settimane, allo scopo di far coincidere la fine del secondo nucleo tematico con la chiusura del primo quadrimestre. </w:t>
      </w:r>
    </w:p>
    <w:p w:rsidR="00A018B9" w:rsidRPr="000435E8" w:rsidRDefault="00A018B9" w:rsidP="00A018B9">
      <w:pPr>
        <w:rPr>
          <w:sz w:val="22"/>
          <w:szCs w:val="22"/>
        </w:rPr>
      </w:pPr>
      <w:r w:rsidRPr="00A018B9">
        <w:rPr>
          <w:sz w:val="22"/>
          <w:szCs w:val="22"/>
          <w:highlight w:val="yellow"/>
        </w:rPr>
        <w:t>Ciascun Istituto potrà scegliere, in accordo con l’Ordine Provinciale dei Medici di riferimento, la settimana del mese di gennaio in cui effettua</w:t>
      </w:r>
      <w:r>
        <w:rPr>
          <w:sz w:val="22"/>
          <w:szCs w:val="22"/>
          <w:highlight w:val="yellow"/>
        </w:rPr>
        <w:t>re</w:t>
      </w:r>
      <w:r w:rsidRPr="00A018B9">
        <w:rPr>
          <w:sz w:val="22"/>
          <w:szCs w:val="22"/>
          <w:highlight w:val="yellow"/>
        </w:rPr>
        <w:t xml:space="preserve"> due incontri.</w:t>
      </w:r>
    </w:p>
    <w:p w:rsidR="00A662F3" w:rsidRPr="0014208C" w:rsidRDefault="00A662F3" w:rsidP="00C00DDA">
      <w:pPr>
        <w:jc w:val="both"/>
        <w:rPr>
          <w:sz w:val="22"/>
          <w:szCs w:val="22"/>
        </w:rPr>
      </w:pPr>
    </w:p>
    <w:p w:rsidR="00A662F3" w:rsidRPr="0014208C" w:rsidRDefault="00A662F3" w:rsidP="00A662F3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Somministrazione del secondo test in orario antimeridia</w:t>
      </w:r>
      <w:r w:rsidR="00E12B8A">
        <w:rPr>
          <w:b/>
          <w:sz w:val="22"/>
          <w:szCs w:val="22"/>
        </w:rPr>
        <w:t>no o pomeridiano - 1 ora (DAL 27</w:t>
      </w:r>
      <w:r w:rsidRPr="0014208C">
        <w:rPr>
          <w:b/>
          <w:sz w:val="22"/>
          <w:szCs w:val="22"/>
        </w:rPr>
        <w:t xml:space="preserve"> AL 31 GENNAIO)</w:t>
      </w:r>
    </w:p>
    <w:p w:rsidR="00C00DDA" w:rsidRPr="0014208C" w:rsidRDefault="00921DB4" w:rsidP="00C00DDA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</w:p>
    <w:p w:rsidR="00A662F3" w:rsidRPr="0014208C" w:rsidRDefault="000F0EBC" w:rsidP="00C00DD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NUCLEO TEMATICO </w:t>
      </w:r>
      <w:r w:rsidR="00C00DDA" w:rsidRPr="0014208C">
        <w:rPr>
          <w:b/>
          <w:color w:val="FF0000"/>
          <w:sz w:val="22"/>
          <w:szCs w:val="22"/>
        </w:rPr>
        <w:t>C: IL SISTEMA ESCRETORE</w:t>
      </w:r>
    </w:p>
    <w:p w:rsidR="00A662F3" w:rsidRPr="0014208C" w:rsidRDefault="00C00DDA" w:rsidP="00C00DDA">
      <w:pPr>
        <w:rPr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</w:t>
      </w:r>
      <w:r w:rsidR="00A662F3" w:rsidRPr="0014208C">
        <w:rPr>
          <w:b/>
          <w:sz w:val="22"/>
          <w:szCs w:val="22"/>
          <w:u w:val="single"/>
        </w:rPr>
        <w:t xml:space="preserve"> cura del docente interno 4 ore (Dal </w:t>
      </w:r>
      <w:r w:rsidR="00A018B9">
        <w:rPr>
          <w:b/>
          <w:sz w:val="22"/>
          <w:szCs w:val="22"/>
          <w:u w:val="single"/>
        </w:rPr>
        <w:t>3 al 29 FEBBRAIO</w:t>
      </w:r>
      <w:r w:rsidR="00A662F3" w:rsidRPr="0014208C">
        <w:rPr>
          <w:b/>
          <w:sz w:val="22"/>
          <w:szCs w:val="22"/>
          <w:u w:val="single"/>
        </w:rPr>
        <w:t xml:space="preserve">) </w:t>
      </w:r>
      <w:r w:rsidRPr="0014208C">
        <w:rPr>
          <w:b/>
          <w:sz w:val="22"/>
          <w:szCs w:val="22"/>
          <w:u w:val="single"/>
        </w:rPr>
        <w:t xml:space="preserve"> </w:t>
      </w:r>
      <w:r w:rsidRPr="0014208C">
        <w:rPr>
          <w:sz w:val="22"/>
          <w:szCs w:val="22"/>
          <w:u w:val="single"/>
        </w:rPr>
        <w:t xml:space="preserve">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1: Una panoramica dell’apparato urinario. L’anatomia del rene.  La struttura del nefrone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 xml:space="preserve">UDA 2: Le funzioni del nefrone. 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3: La regolazione ormonale dell’attività dei nefroni. Il percorso dell’urina.</w:t>
      </w:r>
    </w:p>
    <w:p w:rsidR="00C00DDA" w:rsidRPr="0014208C" w:rsidRDefault="00C00DDA" w:rsidP="00C00DDA">
      <w:pPr>
        <w:rPr>
          <w:sz w:val="22"/>
          <w:szCs w:val="22"/>
        </w:rPr>
      </w:pPr>
      <w:r w:rsidRPr="0014208C">
        <w:rPr>
          <w:sz w:val="22"/>
          <w:szCs w:val="22"/>
        </w:rPr>
        <w:t>UDA 4: L’equilibrio dei fluidi corporei</w:t>
      </w:r>
    </w:p>
    <w:p w:rsidR="00A662F3" w:rsidRPr="0014208C" w:rsidRDefault="00A662F3" w:rsidP="00C00DDA">
      <w:pPr>
        <w:rPr>
          <w:sz w:val="22"/>
          <w:szCs w:val="22"/>
        </w:rPr>
      </w:pPr>
    </w:p>
    <w:p w:rsidR="00A662F3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 cura dell’esperto medico esterno 5 ore</w:t>
      </w:r>
      <w:r w:rsidR="00A018B9">
        <w:rPr>
          <w:b/>
          <w:sz w:val="22"/>
          <w:szCs w:val="22"/>
          <w:u w:val="single"/>
        </w:rPr>
        <w:t xml:space="preserve"> (Dal 2 al 28</w:t>
      </w:r>
      <w:r w:rsidR="00A662F3" w:rsidRPr="0014208C">
        <w:rPr>
          <w:b/>
          <w:sz w:val="22"/>
          <w:szCs w:val="22"/>
          <w:u w:val="single"/>
        </w:rPr>
        <w:t xml:space="preserve"> MARZO)</w:t>
      </w:r>
    </w:p>
    <w:p w:rsidR="00A662F3" w:rsidRPr="0014208C" w:rsidRDefault="00C00DDA" w:rsidP="00C00DDA">
      <w:pPr>
        <w:jc w:val="both"/>
        <w:rPr>
          <w:b/>
          <w:sz w:val="22"/>
          <w:szCs w:val="22"/>
        </w:rPr>
      </w:pPr>
      <w:bookmarkStart w:id="2" w:name="_Hlk488820254"/>
      <w:r w:rsidRPr="0014208C">
        <w:rPr>
          <w:b/>
          <w:sz w:val="22"/>
          <w:szCs w:val="22"/>
        </w:rPr>
        <w:t>Inquadramento clinico delle più comuni patologie dell’apparato urinario, casi clinici esemplificativi</w:t>
      </w:r>
      <w:bookmarkEnd w:id="2"/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1: L’insufficienza renale acuta e cronica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2: Le patologie ostruttive delle vie urinarie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3: I tumori delle vie urinarie</w:t>
      </w:r>
    </w:p>
    <w:p w:rsidR="00C00DDA" w:rsidRDefault="00C00DDA" w:rsidP="00C00DDA">
      <w:pPr>
        <w:jc w:val="both"/>
        <w:rPr>
          <w:sz w:val="22"/>
          <w:szCs w:val="22"/>
        </w:rPr>
      </w:pPr>
      <w:r w:rsidRPr="0014208C">
        <w:rPr>
          <w:sz w:val="22"/>
          <w:szCs w:val="22"/>
        </w:rPr>
        <w:t>UDA 4: Le patologie infiammatorie delle vie urinarie</w:t>
      </w:r>
    </w:p>
    <w:p w:rsidR="009A5F2D" w:rsidRPr="0014208C" w:rsidRDefault="009A5F2D" w:rsidP="00C00DDA">
      <w:pPr>
        <w:jc w:val="both"/>
        <w:rPr>
          <w:sz w:val="22"/>
          <w:szCs w:val="22"/>
        </w:rPr>
      </w:pPr>
    </w:p>
    <w:p w:rsidR="009A5F2D" w:rsidRPr="0014208C" w:rsidRDefault="00716B8D" w:rsidP="009A5F2D">
      <w:pPr>
        <w:jc w:val="both"/>
        <w:rPr>
          <w:b/>
          <w:sz w:val="22"/>
          <w:szCs w:val="22"/>
        </w:rPr>
      </w:pPr>
      <w:r w:rsidRPr="00A018B9">
        <w:rPr>
          <w:b/>
          <w:sz w:val="22"/>
          <w:szCs w:val="22"/>
        </w:rPr>
        <w:t>Somministrazione del terz</w:t>
      </w:r>
      <w:r w:rsidR="009A5F2D" w:rsidRPr="00A018B9">
        <w:rPr>
          <w:b/>
          <w:sz w:val="22"/>
          <w:szCs w:val="22"/>
        </w:rPr>
        <w:t>o test in orario antimeridia</w:t>
      </w:r>
      <w:r w:rsidR="00A018B9">
        <w:rPr>
          <w:b/>
          <w:sz w:val="22"/>
          <w:szCs w:val="22"/>
        </w:rPr>
        <w:t>no o pomeridiano - 1 ora (DAL 30 MARZO AL 4</w:t>
      </w:r>
      <w:r w:rsidR="002A4071" w:rsidRPr="00A018B9">
        <w:rPr>
          <w:b/>
          <w:sz w:val="22"/>
          <w:szCs w:val="22"/>
        </w:rPr>
        <w:t xml:space="preserve"> APRILE</w:t>
      </w:r>
      <w:r w:rsidR="009A5F2D" w:rsidRPr="00A018B9">
        <w:rPr>
          <w:b/>
          <w:sz w:val="22"/>
          <w:szCs w:val="22"/>
        </w:rPr>
        <w:t>)</w:t>
      </w:r>
    </w:p>
    <w:p w:rsidR="00C00DDA" w:rsidRPr="0014208C" w:rsidRDefault="00C00DDA" w:rsidP="00C00DDA">
      <w:pPr>
        <w:jc w:val="both"/>
        <w:rPr>
          <w:sz w:val="22"/>
          <w:szCs w:val="22"/>
        </w:rPr>
      </w:pPr>
    </w:p>
    <w:p w:rsidR="00B543A0" w:rsidRPr="0014208C" w:rsidRDefault="0014208C" w:rsidP="00C00DD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NUCLEO</w:t>
      </w:r>
      <w:r w:rsidR="000F0EBC">
        <w:rPr>
          <w:b/>
          <w:color w:val="FF0000"/>
          <w:sz w:val="22"/>
          <w:szCs w:val="22"/>
        </w:rPr>
        <w:t xml:space="preserve"> TEMATICO</w:t>
      </w:r>
      <w:r w:rsidR="00A018B9">
        <w:rPr>
          <w:b/>
          <w:color w:val="FF0000"/>
          <w:sz w:val="22"/>
          <w:szCs w:val="22"/>
        </w:rPr>
        <w:t xml:space="preserve"> D: </w:t>
      </w:r>
      <w:r w:rsidR="00C00DDA" w:rsidRPr="0014208C">
        <w:rPr>
          <w:b/>
          <w:color w:val="FF0000"/>
          <w:sz w:val="22"/>
          <w:szCs w:val="22"/>
        </w:rPr>
        <w:t>Il SISTEMA IMMUNITARIO</w:t>
      </w:r>
    </w:p>
    <w:p w:rsidR="00B543A0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 xml:space="preserve">A </w:t>
      </w:r>
      <w:r w:rsidR="00B543A0" w:rsidRPr="0014208C">
        <w:rPr>
          <w:b/>
          <w:sz w:val="22"/>
          <w:szCs w:val="22"/>
          <w:u w:val="single"/>
        </w:rPr>
        <w:t xml:space="preserve">cura del docente interno </w:t>
      </w:r>
      <w:r w:rsidRPr="0014208C">
        <w:rPr>
          <w:b/>
          <w:sz w:val="22"/>
          <w:szCs w:val="22"/>
          <w:u w:val="single"/>
        </w:rPr>
        <w:t xml:space="preserve">4 ore </w:t>
      </w:r>
      <w:r w:rsidR="00A018B9">
        <w:rPr>
          <w:b/>
          <w:sz w:val="22"/>
          <w:szCs w:val="22"/>
          <w:u w:val="single"/>
        </w:rPr>
        <w:t>(Dal 30 MARZO</w:t>
      </w:r>
      <w:r w:rsidR="00A018B9" w:rsidRPr="000435E8">
        <w:rPr>
          <w:b/>
          <w:sz w:val="22"/>
          <w:szCs w:val="22"/>
          <w:u w:val="single"/>
        </w:rPr>
        <w:t xml:space="preserve"> al</w:t>
      </w:r>
      <w:r w:rsidR="00A018B9">
        <w:rPr>
          <w:b/>
          <w:sz w:val="22"/>
          <w:szCs w:val="22"/>
          <w:u w:val="single"/>
        </w:rPr>
        <w:t xml:space="preserve"> 30 APRILE</w:t>
      </w:r>
      <w:r w:rsidR="00A018B9" w:rsidRPr="000435E8">
        <w:rPr>
          <w:b/>
          <w:sz w:val="22"/>
          <w:szCs w:val="22"/>
          <w:u w:val="single"/>
        </w:rPr>
        <w:t>)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1: L’immunità innata e le difese aspecifiche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2: L’immunità cellulo-mediata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3: L’immunità   anticorpale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4: I vaccini e la sieroterapia</w:t>
      </w:r>
    </w:p>
    <w:p w:rsidR="00B543A0" w:rsidRPr="0014208C" w:rsidRDefault="00B543A0" w:rsidP="00C00DDA">
      <w:pPr>
        <w:rPr>
          <w:sz w:val="22"/>
          <w:szCs w:val="22"/>
        </w:rPr>
      </w:pPr>
    </w:p>
    <w:p w:rsidR="00B543A0" w:rsidRPr="0014208C" w:rsidRDefault="00C00DDA" w:rsidP="00C00DDA">
      <w:pPr>
        <w:rPr>
          <w:b/>
          <w:sz w:val="22"/>
          <w:szCs w:val="22"/>
          <w:u w:val="single"/>
        </w:rPr>
      </w:pPr>
      <w:r w:rsidRPr="0014208C">
        <w:rPr>
          <w:b/>
          <w:sz w:val="22"/>
          <w:szCs w:val="22"/>
          <w:u w:val="single"/>
        </w:rPr>
        <w:t>A cura dell’esperto medico esterno 5 ore</w:t>
      </w:r>
      <w:r w:rsidR="00480239">
        <w:rPr>
          <w:b/>
          <w:sz w:val="22"/>
          <w:szCs w:val="22"/>
          <w:u w:val="single"/>
        </w:rPr>
        <w:t xml:space="preserve"> </w:t>
      </w:r>
      <w:r w:rsidR="00A018B9" w:rsidRPr="000435E8">
        <w:rPr>
          <w:b/>
          <w:sz w:val="22"/>
          <w:szCs w:val="22"/>
          <w:u w:val="single"/>
        </w:rPr>
        <w:t>(Dal</w:t>
      </w:r>
      <w:r w:rsidR="00A018B9">
        <w:rPr>
          <w:b/>
          <w:sz w:val="22"/>
          <w:szCs w:val="22"/>
          <w:u w:val="single"/>
        </w:rPr>
        <w:t xml:space="preserve"> 4</w:t>
      </w:r>
      <w:r w:rsidR="00A018B9" w:rsidRPr="000435E8">
        <w:rPr>
          <w:b/>
          <w:sz w:val="22"/>
          <w:szCs w:val="22"/>
          <w:u w:val="single"/>
        </w:rPr>
        <w:t xml:space="preserve"> </w:t>
      </w:r>
      <w:r w:rsidR="00A018B9">
        <w:rPr>
          <w:b/>
          <w:sz w:val="22"/>
          <w:szCs w:val="22"/>
          <w:u w:val="single"/>
        </w:rPr>
        <w:t xml:space="preserve">al 30 </w:t>
      </w:r>
      <w:r w:rsidR="00A018B9" w:rsidRPr="000435E8">
        <w:rPr>
          <w:b/>
          <w:sz w:val="22"/>
          <w:szCs w:val="22"/>
          <w:u w:val="single"/>
        </w:rPr>
        <w:t>MAGGIO)</w:t>
      </w:r>
      <w:r w:rsidR="00A018B9">
        <w:rPr>
          <w:b/>
          <w:sz w:val="22"/>
          <w:szCs w:val="22"/>
          <w:u w:val="single"/>
        </w:rPr>
        <w:t xml:space="preserve"> </w:t>
      </w:r>
    </w:p>
    <w:p w:rsidR="00C00DDA" w:rsidRPr="0014208C" w:rsidRDefault="00C00DDA" w:rsidP="00C00DDA">
      <w:pPr>
        <w:jc w:val="both"/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Inquadramento clinico delle più comuni del sistema immunitario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1: Le immunodeficienze primarie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2: Le immunodeficienze acquisite</w:t>
      </w:r>
    </w:p>
    <w:p w:rsidR="00BF53FA" w:rsidRPr="00211431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3: Le malattie autoimmuni</w:t>
      </w:r>
    </w:p>
    <w:p w:rsidR="00B543A0" w:rsidRDefault="00BF53FA" w:rsidP="00BF53FA">
      <w:pPr>
        <w:rPr>
          <w:sz w:val="22"/>
          <w:szCs w:val="22"/>
        </w:rPr>
      </w:pPr>
      <w:r w:rsidRPr="00211431">
        <w:rPr>
          <w:sz w:val="22"/>
          <w:szCs w:val="22"/>
        </w:rPr>
        <w:t>UDA 4: Le allergie</w:t>
      </w:r>
    </w:p>
    <w:p w:rsidR="00BF53FA" w:rsidRPr="0014208C" w:rsidRDefault="00BF53FA" w:rsidP="00BF53FA">
      <w:pPr>
        <w:rPr>
          <w:sz w:val="22"/>
          <w:szCs w:val="22"/>
        </w:rPr>
      </w:pPr>
    </w:p>
    <w:p w:rsidR="00B543A0" w:rsidRPr="0014208C" w:rsidRDefault="00B543A0" w:rsidP="00B543A0">
      <w:pPr>
        <w:rPr>
          <w:b/>
          <w:sz w:val="22"/>
          <w:szCs w:val="22"/>
        </w:rPr>
      </w:pPr>
      <w:r w:rsidRPr="0014208C">
        <w:rPr>
          <w:b/>
          <w:sz w:val="22"/>
          <w:szCs w:val="22"/>
        </w:rPr>
        <w:t>Somministrazione del quarto test in orario antimeridi</w:t>
      </w:r>
      <w:r w:rsidR="00A018B9">
        <w:rPr>
          <w:b/>
          <w:sz w:val="22"/>
          <w:szCs w:val="22"/>
        </w:rPr>
        <w:t>ano o pomeridiano - 1 ora (Dal 1 al 6</w:t>
      </w:r>
      <w:r w:rsidRPr="0014208C">
        <w:rPr>
          <w:b/>
          <w:sz w:val="22"/>
          <w:szCs w:val="22"/>
        </w:rPr>
        <w:t xml:space="preserve"> GIUGNO)</w:t>
      </w:r>
    </w:p>
    <w:p w:rsidR="00C00DDA" w:rsidRPr="0014208C" w:rsidRDefault="00C00DDA" w:rsidP="00C00DDA">
      <w:pPr>
        <w:rPr>
          <w:sz w:val="22"/>
          <w:szCs w:val="22"/>
        </w:rPr>
      </w:pPr>
    </w:p>
    <w:p w:rsidR="0014208C" w:rsidRPr="0014208C" w:rsidRDefault="0014208C" w:rsidP="00C00DDA">
      <w:pPr>
        <w:jc w:val="both"/>
        <w:rPr>
          <w:b/>
          <w:color w:val="FF0000"/>
          <w:sz w:val="22"/>
          <w:szCs w:val="22"/>
        </w:rPr>
      </w:pPr>
    </w:p>
    <w:p w:rsidR="00C00DDA" w:rsidRPr="0014208C" w:rsidRDefault="00C00DDA" w:rsidP="00C00DDA">
      <w:pPr>
        <w:jc w:val="both"/>
        <w:rPr>
          <w:b/>
          <w:color w:val="FF0000"/>
          <w:sz w:val="22"/>
          <w:szCs w:val="22"/>
        </w:rPr>
      </w:pPr>
    </w:p>
    <w:p w:rsidR="00A662F3" w:rsidRPr="0014208C" w:rsidRDefault="00A662F3" w:rsidP="00A662F3">
      <w:pPr>
        <w:spacing w:line="276" w:lineRule="auto"/>
        <w:rPr>
          <w:b/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</w:t>
      </w:r>
      <w:r w:rsidRPr="0014208C">
        <w:rPr>
          <w:b/>
          <w:sz w:val="22"/>
          <w:szCs w:val="22"/>
        </w:rPr>
        <w:t>Il Comitato Tecnico-Scientifico della scuola capofila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                 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         Il Dirigente scolastico prof.ssa Giuseppina Princi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Il Presidente dell’Ordine Provinciale dei Medici di Reggio Calabria dott. Pasquale Veneziano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Il referente del percorso per l’Ordine Provinciale dei Medici di Reggio Calabria dott. Domenico Tromba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Le docenti referenti del progetto prof.sse Francesca Torretta e Maria Luisa Smorto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                                                        Il responsabile della piattaforma web ing. Stefano Infantino</w:t>
      </w:r>
    </w:p>
    <w:p w:rsidR="00A662F3" w:rsidRPr="0014208C" w:rsidRDefault="00A662F3" w:rsidP="00A662F3">
      <w:pPr>
        <w:spacing w:line="276" w:lineRule="auto"/>
        <w:rPr>
          <w:sz w:val="22"/>
          <w:szCs w:val="22"/>
        </w:rPr>
      </w:pPr>
      <w:r w:rsidRPr="0014208C">
        <w:rPr>
          <w:sz w:val="22"/>
          <w:szCs w:val="22"/>
        </w:rPr>
        <w:t xml:space="preserve"> </w:t>
      </w:r>
    </w:p>
    <w:p w:rsidR="00C00DDA" w:rsidRPr="0014208C" w:rsidRDefault="00C00DDA" w:rsidP="005749E0">
      <w:pPr>
        <w:spacing w:line="276" w:lineRule="auto"/>
        <w:rPr>
          <w:sz w:val="22"/>
          <w:szCs w:val="22"/>
        </w:rPr>
      </w:pPr>
    </w:p>
    <w:sectPr w:rsidR="00C00DDA" w:rsidRPr="0014208C" w:rsidSect="00FF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06CC"/>
    <w:multiLevelType w:val="hybridMultilevel"/>
    <w:tmpl w:val="34424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4F6583"/>
    <w:multiLevelType w:val="hybridMultilevel"/>
    <w:tmpl w:val="634A7D44"/>
    <w:lvl w:ilvl="0" w:tplc="40B6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5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3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819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21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A2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0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CD9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9F1CB2"/>
    <w:multiLevelType w:val="hybridMultilevel"/>
    <w:tmpl w:val="0E36A928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C30AE"/>
    <w:multiLevelType w:val="hybridMultilevel"/>
    <w:tmpl w:val="67768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042DF4"/>
    <w:multiLevelType w:val="hybridMultilevel"/>
    <w:tmpl w:val="5044CC98"/>
    <w:lvl w:ilvl="0" w:tplc="0410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206340"/>
    <w:multiLevelType w:val="hybridMultilevel"/>
    <w:tmpl w:val="DA325268"/>
    <w:lvl w:ilvl="0" w:tplc="0410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B36F60"/>
    <w:multiLevelType w:val="hybridMultilevel"/>
    <w:tmpl w:val="2EF6F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2866F9"/>
    <w:multiLevelType w:val="hybridMultilevel"/>
    <w:tmpl w:val="6658B4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2058CC"/>
    <w:multiLevelType w:val="hybridMultilevel"/>
    <w:tmpl w:val="B97ECF46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17028"/>
    <w:multiLevelType w:val="hybridMultilevel"/>
    <w:tmpl w:val="E5FEE38E"/>
    <w:lvl w:ilvl="0" w:tplc="755A7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630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10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3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8EF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B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E8B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C04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486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F66224"/>
    <w:multiLevelType w:val="hybridMultilevel"/>
    <w:tmpl w:val="8C7E3F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2A"/>
    <w:rsid w:val="000058C1"/>
    <w:rsid w:val="0001760D"/>
    <w:rsid w:val="00027518"/>
    <w:rsid w:val="000325FA"/>
    <w:rsid w:val="0005587C"/>
    <w:rsid w:val="000579B7"/>
    <w:rsid w:val="00057E4B"/>
    <w:rsid w:val="00066F65"/>
    <w:rsid w:val="000754B8"/>
    <w:rsid w:val="00075F72"/>
    <w:rsid w:val="0009001D"/>
    <w:rsid w:val="000B50C0"/>
    <w:rsid w:val="000E0AAD"/>
    <w:rsid w:val="000E41A7"/>
    <w:rsid w:val="000E53EE"/>
    <w:rsid w:val="000F0EBC"/>
    <w:rsid w:val="00112D7C"/>
    <w:rsid w:val="0012610E"/>
    <w:rsid w:val="0014208C"/>
    <w:rsid w:val="00166B6B"/>
    <w:rsid w:val="001A1F19"/>
    <w:rsid w:val="001A5A77"/>
    <w:rsid w:val="001B0625"/>
    <w:rsid w:val="001C0131"/>
    <w:rsid w:val="001D1782"/>
    <w:rsid w:val="00212126"/>
    <w:rsid w:val="00223F6E"/>
    <w:rsid w:val="00243DFC"/>
    <w:rsid w:val="0027292E"/>
    <w:rsid w:val="002777C1"/>
    <w:rsid w:val="00295652"/>
    <w:rsid w:val="002A4071"/>
    <w:rsid w:val="002B1A4A"/>
    <w:rsid w:val="002B3653"/>
    <w:rsid w:val="002B4D2A"/>
    <w:rsid w:val="002D3CA0"/>
    <w:rsid w:val="003005F5"/>
    <w:rsid w:val="0030472D"/>
    <w:rsid w:val="00321C28"/>
    <w:rsid w:val="0033450B"/>
    <w:rsid w:val="003517DB"/>
    <w:rsid w:val="00360978"/>
    <w:rsid w:val="00371EEA"/>
    <w:rsid w:val="00372245"/>
    <w:rsid w:val="00380A81"/>
    <w:rsid w:val="00383951"/>
    <w:rsid w:val="003A6B28"/>
    <w:rsid w:val="003B10DC"/>
    <w:rsid w:val="003C02E9"/>
    <w:rsid w:val="003F5A3F"/>
    <w:rsid w:val="00401911"/>
    <w:rsid w:val="004234C0"/>
    <w:rsid w:val="00425F1B"/>
    <w:rsid w:val="00431524"/>
    <w:rsid w:val="00440BB9"/>
    <w:rsid w:val="004461F2"/>
    <w:rsid w:val="00456736"/>
    <w:rsid w:val="00462484"/>
    <w:rsid w:val="00475E5E"/>
    <w:rsid w:val="00480239"/>
    <w:rsid w:val="00480C4D"/>
    <w:rsid w:val="004A1F1E"/>
    <w:rsid w:val="004D57A1"/>
    <w:rsid w:val="004D74AE"/>
    <w:rsid w:val="00523C92"/>
    <w:rsid w:val="005749E0"/>
    <w:rsid w:val="00585C4B"/>
    <w:rsid w:val="005C5463"/>
    <w:rsid w:val="005D4FAC"/>
    <w:rsid w:val="005D77FB"/>
    <w:rsid w:val="005E6036"/>
    <w:rsid w:val="005E7862"/>
    <w:rsid w:val="00603257"/>
    <w:rsid w:val="00614A27"/>
    <w:rsid w:val="00646EA5"/>
    <w:rsid w:val="00686B55"/>
    <w:rsid w:val="006A554E"/>
    <w:rsid w:val="006C30EF"/>
    <w:rsid w:val="006E7AE5"/>
    <w:rsid w:val="007145B0"/>
    <w:rsid w:val="00716B8D"/>
    <w:rsid w:val="00723106"/>
    <w:rsid w:val="00743F39"/>
    <w:rsid w:val="00747297"/>
    <w:rsid w:val="00751EB7"/>
    <w:rsid w:val="00761371"/>
    <w:rsid w:val="007C5BD0"/>
    <w:rsid w:val="007E5C5E"/>
    <w:rsid w:val="007F2CFB"/>
    <w:rsid w:val="008128C9"/>
    <w:rsid w:val="00874ECE"/>
    <w:rsid w:val="008838E0"/>
    <w:rsid w:val="00896B57"/>
    <w:rsid w:val="008B0179"/>
    <w:rsid w:val="008B4221"/>
    <w:rsid w:val="008B5B82"/>
    <w:rsid w:val="008C497C"/>
    <w:rsid w:val="008C4E4A"/>
    <w:rsid w:val="008E516C"/>
    <w:rsid w:val="008E6E36"/>
    <w:rsid w:val="008F2819"/>
    <w:rsid w:val="00901F14"/>
    <w:rsid w:val="00902DC9"/>
    <w:rsid w:val="00921DB4"/>
    <w:rsid w:val="00963810"/>
    <w:rsid w:val="009762CA"/>
    <w:rsid w:val="00994540"/>
    <w:rsid w:val="00996EC6"/>
    <w:rsid w:val="00996F57"/>
    <w:rsid w:val="009A2B2E"/>
    <w:rsid w:val="009A5F2D"/>
    <w:rsid w:val="009B072E"/>
    <w:rsid w:val="009B5D70"/>
    <w:rsid w:val="009D006E"/>
    <w:rsid w:val="009E3B9F"/>
    <w:rsid w:val="009F02FC"/>
    <w:rsid w:val="009F53FE"/>
    <w:rsid w:val="00A018B9"/>
    <w:rsid w:val="00A0341C"/>
    <w:rsid w:val="00A662F3"/>
    <w:rsid w:val="00A7460C"/>
    <w:rsid w:val="00AB256C"/>
    <w:rsid w:val="00AB33D5"/>
    <w:rsid w:val="00AB56A2"/>
    <w:rsid w:val="00AD2445"/>
    <w:rsid w:val="00AD5166"/>
    <w:rsid w:val="00AE48D4"/>
    <w:rsid w:val="00AE69B7"/>
    <w:rsid w:val="00AE77FB"/>
    <w:rsid w:val="00B01028"/>
    <w:rsid w:val="00B10B52"/>
    <w:rsid w:val="00B22C68"/>
    <w:rsid w:val="00B321C5"/>
    <w:rsid w:val="00B41093"/>
    <w:rsid w:val="00B448DC"/>
    <w:rsid w:val="00B543A0"/>
    <w:rsid w:val="00B962A8"/>
    <w:rsid w:val="00BA6326"/>
    <w:rsid w:val="00BB10BA"/>
    <w:rsid w:val="00BE1686"/>
    <w:rsid w:val="00BE2685"/>
    <w:rsid w:val="00BF53FA"/>
    <w:rsid w:val="00C00DDA"/>
    <w:rsid w:val="00C3238E"/>
    <w:rsid w:val="00C32CE8"/>
    <w:rsid w:val="00C445FE"/>
    <w:rsid w:val="00C50E96"/>
    <w:rsid w:val="00C63644"/>
    <w:rsid w:val="00C731FF"/>
    <w:rsid w:val="00C80500"/>
    <w:rsid w:val="00CA5292"/>
    <w:rsid w:val="00CC1B4E"/>
    <w:rsid w:val="00CD477E"/>
    <w:rsid w:val="00CD6CCB"/>
    <w:rsid w:val="00D0623D"/>
    <w:rsid w:val="00D14A86"/>
    <w:rsid w:val="00D24675"/>
    <w:rsid w:val="00D62D21"/>
    <w:rsid w:val="00D80447"/>
    <w:rsid w:val="00D852E7"/>
    <w:rsid w:val="00E01ABB"/>
    <w:rsid w:val="00E10047"/>
    <w:rsid w:val="00E12B8A"/>
    <w:rsid w:val="00E163BA"/>
    <w:rsid w:val="00E74E50"/>
    <w:rsid w:val="00E872BE"/>
    <w:rsid w:val="00E943F4"/>
    <w:rsid w:val="00E949CA"/>
    <w:rsid w:val="00E967B5"/>
    <w:rsid w:val="00EB1A6F"/>
    <w:rsid w:val="00EC7C93"/>
    <w:rsid w:val="00EC7E51"/>
    <w:rsid w:val="00EE4788"/>
    <w:rsid w:val="00EF1E7C"/>
    <w:rsid w:val="00F042E0"/>
    <w:rsid w:val="00F10620"/>
    <w:rsid w:val="00F24955"/>
    <w:rsid w:val="00F45EE3"/>
    <w:rsid w:val="00F53E06"/>
    <w:rsid w:val="00F556C6"/>
    <w:rsid w:val="00FA46E6"/>
    <w:rsid w:val="00FD7BD4"/>
    <w:rsid w:val="00FE60A8"/>
    <w:rsid w:val="00FE7116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9B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69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69B7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4A8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51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9B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69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69B7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4A8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5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5135-AEC3-498D-8A21-99426886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Salvatore</cp:lastModifiedBy>
  <cp:revision>2</cp:revision>
  <cp:lastPrinted>2015-11-08T16:29:00Z</cp:lastPrinted>
  <dcterms:created xsi:type="dcterms:W3CDTF">2019-09-25T16:22:00Z</dcterms:created>
  <dcterms:modified xsi:type="dcterms:W3CDTF">2019-09-25T16:22:00Z</dcterms:modified>
</cp:coreProperties>
</file>